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DDA62" w14:textId="7A0BA99B" w:rsidR="008E1A7A" w:rsidRPr="008E1A7A" w:rsidRDefault="008E1A7A" w:rsidP="008E1A7A">
      <w:pPr>
        <w:spacing w:line="300" w:lineRule="auto"/>
        <w:rPr>
          <w:b/>
          <w:bCs/>
        </w:rPr>
      </w:pPr>
      <w:r>
        <w:rPr>
          <w:b/>
          <w:bCs/>
        </w:rPr>
        <w:t xml:space="preserve">POST-VACCINATION </w:t>
      </w:r>
      <w:r w:rsidRPr="008E1A7A">
        <w:rPr>
          <w:b/>
          <w:bCs/>
        </w:rPr>
        <w:t>CLINICAL UPDATE</w:t>
      </w:r>
    </w:p>
    <w:p w14:paraId="15D0ACEC" w14:textId="02648062" w:rsidR="001B2382" w:rsidRDefault="008E1A7A" w:rsidP="008E1A7A">
      <w:pPr>
        <w:spacing w:line="300" w:lineRule="auto"/>
      </w:pPr>
      <w:r>
        <w:t xml:space="preserve"> </w:t>
      </w:r>
    </w:p>
    <w:p w14:paraId="0186893E" w14:textId="72780BAA" w:rsidR="001B2382" w:rsidRDefault="008E1A7A" w:rsidP="008E1A7A">
      <w:pPr>
        <w:spacing w:line="300" w:lineRule="auto"/>
      </w:pPr>
      <w:r>
        <w:t xml:space="preserve">In AdventHealth </w:t>
      </w:r>
      <w:r w:rsidR="001B2382">
        <w:t>Central Florida Division</w:t>
      </w:r>
      <w:r>
        <w:t xml:space="preserve"> </w:t>
      </w:r>
      <w:hyperlink r:id="rId8" w:history="1">
        <w:r>
          <w:rPr>
            <w:rStyle w:val="Hyperlink"/>
          </w:rPr>
          <w:t>Clinical Bulletin #115</w:t>
        </w:r>
      </w:hyperlink>
      <w:r w:rsidR="001B2382">
        <w:t>,</w:t>
      </w:r>
      <w:r>
        <w:t xml:space="preserve"> published January 29, 2021,</w:t>
      </w:r>
      <w:r w:rsidR="001B2382">
        <w:t xml:space="preserve"> </w:t>
      </w:r>
      <w:r>
        <w:t xml:space="preserve">an </w:t>
      </w:r>
      <w:r w:rsidR="001B2382">
        <w:t>important note is at the top of page 3:</w:t>
      </w:r>
    </w:p>
    <w:p w14:paraId="214BC925" w14:textId="77777777" w:rsidR="001B2382" w:rsidRDefault="001B2382" w:rsidP="008E1A7A">
      <w:pPr>
        <w:pStyle w:val="Default"/>
        <w:spacing w:line="300" w:lineRule="auto"/>
      </w:pPr>
    </w:p>
    <w:p w14:paraId="73705E11" w14:textId="77777777" w:rsidR="001B2382" w:rsidRDefault="001B2382" w:rsidP="008E1A7A">
      <w:pPr>
        <w:pStyle w:val="Default"/>
        <w:numPr>
          <w:ilvl w:val="6"/>
          <w:numId w:val="1"/>
        </w:numPr>
        <w:spacing w:line="300" w:lineRule="auto"/>
        <w:rPr>
          <w:rFonts w:ascii="Arial Nova" w:hAnsi="Arial Nova"/>
          <w:color w:val="4472C4"/>
          <w:sz w:val="22"/>
          <w:szCs w:val="22"/>
        </w:rPr>
      </w:pPr>
      <w:r>
        <w:rPr>
          <w:rFonts w:ascii="Arial Nova" w:hAnsi="Arial Nova"/>
          <w:color w:val="4472C4"/>
          <w:sz w:val="22"/>
          <w:szCs w:val="22"/>
        </w:rPr>
        <w:t xml:space="preserve">Although the vaccines are effective in preventing </w:t>
      </w:r>
      <w:r>
        <w:rPr>
          <w:rFonts w:ascii="Arial Nova" w:hAnsi="Arial Nova"/>
          <w:b/>
          <w:bCs/>
          <w:i/>
          <w:iCs/>
          <w:color w:val="4472C4"/>
          <w:sz w:val="22"/>
          <w:szCs w:val="22"/>
        </w:rPr>
        <w:t>severe</w:t>
      </w:r>
      <w:r>
        <w:rPr>
          <w:rFonts w:ascii="Arial Nova" w:hAnsi="Arial Nova"/>
          <w:color w:val="4472C4"/>
          <w:sz w:val="22"/>
          <w:szCs w:val="22"/>
        </w:rPr>
        <w:t xml:space="preserve"> disease, there is not enough data to show that those who are inoculated cannot asymptomatically spread the virus to others. </w:t>
      </w:r>
    </w:p>
    <w:p w14:paraId="38D59E69" w14:textId="77777777" w:rsidR="001B2382" w:rsidRDefault="001B2382" w:rsidP="008E1A7A">
      <w:pPr>
        <w:pStyle w:val="Default"/>
        <w:numPr>
          <w:ilvl w:val="4"/>
          <w:numId w:val="1"/>
        </w:numPr>
        <w:spacing w:line="300" w:lineRule="auto"/>
        <w:rPr>
          <w:rFonts w:ascii="Arial Nova" w:hAnsi="Arial Nova"/>
          <w:color w:val="4472C4"/>
          <w:sz w:val="22"/>
          <w:szCs w:val="22"/>
        </w:rPr>
      </w:pPr>
      <w:r>
        <w:rPr>
          <w:rFonts w:ascii="Wingdings" w:hAnsi="Wingdings"/>
          <w:color w:val="4472C4"/>
          <w:sz w:val="22"/>
          <w:szCs w:val="22"/>
        </w:rPr>
        <w:t>à</w:t>
      </w:r>
      <w:r>
        <w:rPr>
          <w:rFonts w:ascii="Arial Nova" w:hAnsi="Arial Nova"/>
          <w:color w:val="4472C4"/>
          <w:sz w:val="22"/>
          <w:szCs w:val="22"/>
        </w:rPr>
        <w:t xml:space="preserve"> Anyone vaccinated should continue to follow </w:t>
      </w:r>
      <w:r>
        <w:rPr>
          <w:rFonts w:ascii="Arial Nova" w:hAnsi="Arial Nova"/>
          <w:b/>
          <w:bCs/>
          <w:color w:val="4472C4"/>
          <w:sz w:val="22"/>
          <w:szCs w:val="22"/>
        </w:rPr>
        <w:t xml:space="preserve">all mitigation guidelines to protect others from COVID-19. </w:t>
      </w:r>
    </w:p>
    <w:p w14:paraId="762AF77C" w14:textId="77777777" w:rsidR="001B2382" w:rsidRDefault="001B2382" w:rsidP="008E1A7A">
      <w:pPr>
        <w:pStyle w:val="Default"/>
        <w:numPr>
          <w:ilvl w:val="1"/>
          <w:numId w:val="1"/>
        </w:numPr>
        <w:spacing w:line="300" w:lineRule="auto"/>
        <w:rPr>
          <w:sz w:val="22"/>
          <w:szCs w:val="22"/>
        </w:rPr>
      </w:pPr>
    </w:p>
    <w:p w14:paraId="69654BFA" w14:textId="6418FAFB" w:rsidR="001B2382" w:rsidRDefault="001B2382" w:rsidP="008E1A7A">
      <w:pPr>
        <w:spacing w:line="300" w:lineRule="auto"/>
      </w:pPr>
      <w:r>
        <w:t xml:space="preserve">Stated another way, even after you are vaccinated, you could still get a mild case of COVID-19, be among the one-third of people who show no symptoms, and possibly spread the virus to others. If you are interested in learning more and/or are clinically inclined, please see the related article </w:t>
      </w:r>
      <w:r w:rsidR="008E1A7A">
        <w:t>beginning on page 2</w:t>
      </w:r>
      <w:r>
        <w:t xml:space="preserve">. </w:t>
      </w:r>
    </w:p>
    <w:p w14:paraId="6E20A071" w14:textId="77777777" w:rsidR="001B2382" w:rsidRDefault="001B2382" w:rsidP="008E1A7A">
      <w:pPr>
        <w:spacing w:line="300" w:lineRule="auto"/>
      </w:pPr>
    </w:p>
    <w:p w14:paraId="74B7FB18" w14:textId="77777777" w:rsidR="001B2382" w:rsidRDefault="001B2382" w:rsidP="008E1A7A">
      <w:pPr>
        <w:spacing w:line="300" w:lineRule="auto"/>
      </w:pPr>
      <w:r>
        <w:t xml:space="preserve">Thank you for continuing to uphold our service standards of KEEP ME SAFE and LOVE ME by practicing and modeling </w:t>
      </w:r>
      <w:r>
        <w:rPr>
          <w:b/>
          <w:bCs/>
          <w:i/>
          <w:iCs/>
        </w:rPr>
        <w:t xml:space="preserve">all </w:t>
      </w:r>
      <w:r>
        <w:t>required mitigation guidelines on your AHU campus and in your community. Here’s a short list of reminders:</w:t>
      </w:r>
    </w:p>
    <w:p w14:paraId="5128C539" w14:textId="77777777" w:rsidR="001B2382" w:rsidRDefault="001B2382" w:rsidP="008E1A7A">
      <w:pPr>
        <w:spacing w:line="300" w:lineRule="auto"/>
      </w:pPr>
    </w:p>
    <w:p w14:paraId="2422FF24" w14:textId="77777777" w:rsidR="001B2382" w:rsidRDefault="001B2382" w:rsidP="008E1A7A">
      <w:pPr>
        <w:spacing w:line="300" w:lineRule="auto"/>
        <w:rPr>
          <w:i/>
          <w:iCs/>
        </w:rPr>
      </w:pPr>
      <w:r>
        <w:t xml:space="preserve">Feel sick? </w:t>
      </w:r>
      <w:r>
        <w:rPr>
          <w:i/>
          <w:iCs/>
        </w:rPr>
        <w:t>Stay home</w:t>
      </w:r>
    </w:p>
    <w:p w14:paraId="6DA2BCFA" w14:textId="77777777" w:rsidR="001B2382" w:rsidRDefault="001B2382" w:rsidP="008E1A7A">
      <w:pPr>
        <w:spacing w:line="300" w:lineRule="auto"/>
        <w:rPr>
          <w:b/>
          <w:bCs/>
          <w:i/>
          <w:iCs/>
        </w:rPr>
      </w:pPr>
      <w:r>
        <w:rPr>
          <w:b/>
          <w:bCs/>
          <w:i/>
          <w:iCs/>
        </w:rPr>
        <w:t>and</w:t>
      </w:r>
    </w:p>
    <w:p w14:paraId="1738A5CE" w14:textId="77777777" w:rsidR="001B2382" w:rsidRDefault="001B2382" w:rsidP="008E1A7A">
      <w:pPr>
        <w:spacing w:line="300" w:lineRule="auto"/>
      </w:pPr>
      <w:r>
        <w:t xml:space="preserve">Temp check! </w:t>
      </w:r>
      <w:r>
        <w:rPr>
          <w:i/>
          <w:iCs/>
        </w:rPr>
        <w:t>100 or more, stay home</w:t>
      </w:r>
    </w:p>
    <w:p w14:paraId="733D815C" w14:textId="77777777" w:rsidR="001B2382" w:rsidRDefault="001B2382" w:rsidP="008E1A7A">
      <w:pPr>
        <w:spacing w:line="300" w:lineRule="auto"/>
        <w:rPr>
          <w:b/>
          <w:bCs/>
          <w:i/>
          <w:iCs/>
        </w:rPr>
      </w:pPr>
      <w:r>
        <w:rPr>
          <w:b/>
          <w:bCs/>
          <w:i/>
          <w:iCs/>
        </w:rPr>
        <w:t>and</w:t>
      </w:r>
    </w:p>
    <w:p w14:paraId="1998A919" w14:textId="77777777" w:rsidR="001B2382" w:rsidRDefault="001B2382" w:rsidP="008E1A7A">
      <w:pPr>
        <w:spacing w:line="300" w:lineRule="auto"/>
        <w:rPr>
          <w:i/>
          <w:iCs/>
        </w:rPr>
      </w:pPr>
      <w:r>
        <w:t xml:space="preserve">Mask up! </w:t>
      </w:r>
      <w:r>
        <w:rPr>
          <w:i/>
          <w:iCs/>
        </w:rPr>
        <w:t>It is 2021; no one wants to see your nostrils</w:t>
      </w:r>
    </w:p>
    <w:p w14:paraId="109BF588" w14:textId="77777777" w:rsidR="001B2382" w:rsidRDefault="001B2382" w:rsidP="008E1A7A">
      <w:pPr>
        <w:spacing w:line="300" w:lineRule="auto"/>
        <w:rPr>
          <w:b/>
          <w:bCs/>
          <w:i/>
          <w:iCs/>
        </w:rPr>
      </w:pPr>
      <w:r>
        <w:rPr>
          <w:b/>
          <w:bCs/>
          <w:i/>
          <w:iCs/>
        </w:rPr>
        <w:t>and</w:t>
      </w:r>
    </w:p>
    <w:p w14:paraId="4A2726E4" w14:textId="77777777" w:rsidR="001B2382" w:rsidRDefault="001B2382" w:rsidP="008E1A7A">
      <w:pPr>
        <w:spacing w:line="300" w:lineRule="auto"/>
        <w:rPr>
          <w:i/>
          <w:iCs/>
        </w:rPr>
      </w:pPr>
      <w:r>
        <w:t xml:space="preserve">Space out! </w:t>
      </w:r>
      <w:r>
        <w:rPr>
          <w:i/>
          <w:iCs/>
        </w:rPr>
        <w:t>Six feet between is better than six feet under</w:t>
      </w:r>
    </w:p>
    <w:p w14:paraId="5B0BD36A" w14:textId="77777777" w:rsidR="001B2382" w:rsidRDefault="001B2382" w:rsidP="008E1A7A">
      <w:pPr>
        <w:spacing w:line="300" w:lineRule="auto"/>
        <w:rPr>
          <w:b/>
          <w:bCs/>
          <w:i/>
          <w:iCs/>
        </w:rPr>
      </w:pPr>
      <w:r>
        <w:rPr>
          <w:b/>
          <w:bCs/>
          <w:i/>
          <w:iCs/>
        </w:rPr>
        <w:t>and</w:t>
      </w:r>
    </w:p>
    <w:p w14:paraId="6FBA7A7F" w14:textId="77777777" w:rsidR="001B2382" w:rsidRDefault="001B2382" w:rsidP="008E1A7A">
      <w:pPr>
        <w:spacing w:line="300" w:lineRule="auto"/>
      </w:pPr>
      <w:r>
        <w:t xml:space="preserve">Move on! </w:t>
      </w:r>
      <w:r>
        <w:rPr>
          <w:i/>
          <w:iCs/>
        </w:rPr>
        <w:t>Lingering and loitering is so 2019</w:t>
      </w:r>
    </w:p>
    <w:p w14:paraId="5FFA570A" w14:textId="77777777" w:rsidR="001B2382" w:rsidRDefault="001B2382" w:rsidP="008E1A7A">
      <w:pPr>
        <w:spacing w:line="300" w:lineRule="auto"/>
        <w:rPr>
          <w:b/>
          <w:bCs/>
          <w:i/>
          <w:iCs/>
        </w:rPr>
      </w:pPr>
      <w:r>
        <w:rPr>
          <w:b/>
          <w:bCs/>
          <w:i/>
          <w:iCs/>
        </w:rPr>
        <w:t>and</w:t>
      </w:r>
    </w:p>
    <w:p w14:paraId="21EA130B" w14:textId="77777777" w:rsidR="001B2382" w:rsidRDefault="001B2382" w:rsidP="008E1A7A">
      <w:pPr>
        <w:spacing w:line="300" w:lineRule="auto"/>
      </w:pPr>
      <w:r>
        <w:t xml:space="preserve">Speak up! </w:t>
      </w:r>
      <w:r>
        <w:rPr>
          <w:i/>
          <w:iCs/>
        </w:rPr>
        <w:t>If you see something, say something.</w:t>
      </w:r>
      <w:r>
        <w:t xml:space="preserve"> The life you save might be your own.</w:t>
      </w:r>
    </w:p>
    <w:p w14:paraId="2BE962DE" w14:textId="77777777" w:rsidR="001B2382" w:rsidRDefault="001B2382" w:rsidP="001B2382"/>
    <w:p w14:paraId="33829845" w14:textId="77777777" w:rsidR="001B2382" w:rsidRDefault="001B2382" w:rsidP="001B2382"/>
    <w:p w14:paraId="34185CB1" w14:textId="77777777" w:rsidR="001B2382" w:rsidRDefault="001B2382" w:rsidP="001B2382"/>
    <w:p w14:paraId="0AA2612E" w14:textId="77777777" w:rsidR="008E1A7A" w:rsidRDefault="008E1A7A">
      <w:pPr>
        <w:rPr>
          <w:rFonts w:ascii="Arial" w:hAnsi="Arial" w:cs="Arial"/>
          <w:color w:val="333132"/>
          <w:sz w:val="32"/>
          <w:szCs w:val="32"/>
        </w:rPr>
      </w:pPr>
      <w:r>
        <w:rPr>
          <w:rFonts w:ascii="Arial" w:hAnsi="Arial" w:cs="Arial"/>
          <w:color w:val="333132"/>
          <w:sz w:val="32"/>
          <w:szCs w:val="32"/>
        </w:rPr>
        <w:br w:type="page"/>
      </w:r>
    </w:p>
    <w:p w14:paraId="25A8D309" w14:textId="2D61590F" w:rsidR="001B2382" w:rsidRPr="008E1A7A" w:rsidRDefault="001B2382" w:rsidP="001B2382">
      <w:pPr>
        <w:spacing w:after="330"/>
        <w:rPr>
          <w:rFonts w:ascii="Arial" w:hAnsi="Arial" w:cs="Arial"/>
          <w:color w:val="333132"/>
          <w:sz w:val="28"/>
          <w:szCs w:val="28"/>
        </w:rPr>
      </w:pPr>
      <w:r w:rsidRPr="008E1A7A">
        <w:rPr>
          <w:rFonts w:ascii="Arial" w:hAnsi="Arial" w:cs="Arial"/>
          <w:color w:val="333132"/>
          <w:sz w:val="28"/>
          <w:szCs w:val="28"/>
        </w:rPr>
        <w:lastRenderedPageBreak/>
        <w:t>More Than One Third of COVID-19 Infections Are Asymptomatic: Review</w:t>
      </w:r>
    </w:p>
    <w:p w14:paraId="58B4C6DA" w14:textId="77777777" w:rsidR="001B2382" w:rsidRPr="008E1A7A" w:rsidRDefault="001B2382" w:rsidP="008E1A7A">
      <w:pPr>
        <w:spacing w:line="300" w:lineRule="auto"/>
        <w:rPr>
          <w:rFonts w:ascii="Arial" w:hAnsi="Arial" w:cs="Arial"/>
          <w:color w:val="2A2A2A"/>
          <w:sz w:val="20"/>
          <w:szCs w:val="20"/>
        </w:rPr>
      </w:pPr>
      <w:r w:rsidRPr="008E1A7A">
        <w:rPr>
          <w:rFonts w:ascii="Arial" w:hAnsi="Arial" w:cs="Arial"/>
          <w:color w:val="2A2A2A"/>
          <w:sz w:val="20"/>
          <w:szCs w:val="20"/>
        </w:rPr>
        <w:t>Damian McNamara</w:t>
      </w:r>
    </w:p>
    <w:p w14:paraId="2A3D7715" w14:textId="77777777" w:rsidR="001B2382" w:rsidRPr="008E1A7A" w:rsidRDefault="001B2382" w:rsidP="008E1A7A">
      <w:pPr>
        <w:spacing w:line="300" w:lineRule="auto"/>
        <w:rPr>
          <w:rFonts w:ascii="Arial" w:hAnsi="Arial" w:cs="Arial"/>
          <w:color w:val="2A2A2A"/>
          <w:sz w:val="20"/>
          <w:szCs w:val="20"/>
        </w:rPr>
      </w:pPr>
      <w:r w:rsidRPr="008E1A7A">
        <w:rPr>
          <w:rFonts w:ascii="Arial" w:hAnsi="Arial" w:cs="Arial"/>
          <w:color w:val="2A2A2A"/>
          <w:sz w:val="20"/>
          <w:szCs w:val="20"/>
        </w:rPr>
        <w:t>January 25, 2021</w:t>
      </w:r>
    </w:p>
    <w:p w14:paraId="130E2AF6" w14:textId="77777777" w:rsidR="001B2382" w:rsidRPr="008E1A7A" w:rsidRDefault="001B2382" w:rsidP="008E1A7A">
      <w:pPr>
        <w:spacing w:line="300" w:lineRule="auto"/>
        <w:ind w:left="720"/>
        <w:rPr>
          <w:rFonts w:ascii="Arial" w:hAnsi="Arial" w:cs="Arial"/>
          <w:color w:val="222222"/>
          <w:sz w:val="20"/>
          <w:szCs w:val="20"/>
        </w:rPr>
      </w:pPr>
      <w:r w:rsidRPr="008E1A7A">
        <w:rPr>
          <w:rFonts w:ascii="Arial" w:hAnsi="Arial" w:cs="Arial"/>
          <w:color w:val="222222"/>
          <w:sz w:val="20"/>
          <w:szCs w:val="20"/>
        </w:rPr>
        <w:t> </w:t>
      </w:r>
    </w:p>
    <w:p w14:paraId="2192DA0A"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i/>
          <w:iCs/>
          <w:color w:val="222222"/>
          <w:sz w:val="20"/>
          <w:szCs w:val="20"/>
        </w:rPr>
        <w:t>Editor's note: Find the latest COVID-19 news and guidance in Medscape's </w:t>
      </w:r>
      <w:hyperlink r:id="rId9" w:history="1">
        <w:r w:rsidRPr="008E1A7A">
          <w:rPr>
            <w:rStyle w:val="Hyperlink"/>
            <w:rFonts w:ascii="Arial" w:hAnsi="Arial" w:cs="Arial"/>
            <w:i/>
            <w:iCs/>
            <w:color w:val="007CB0"/>
            <w:sz w:val="20"/>
            <w:szCs w:val="20"/>
            <w:u w:val="none"/>
          </w:rPr>
          <w:t>Coronavirus Resource Center</w:t>
        </w:r>
      </w:hyperlink>
      <w:r w:rsidRPr="008E1A7A">
        <w:rPr>
          <w:rFonts w:ascii="Arial" w:hAnsi="Arial" w:cs="Arial"/>
          <w:i/>
          <w:iCs/>
          <w:color w:val="222222"/>
          <w:sz w:val="20"/>
          <w:szCs w:val="20"/>
        </w:rPr>
        <w:t>.</w:t>
      </w:r>
    </w:p>
    <w:p w14:paraId="19C36DBA"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A systematic review suggests at least one third of SARS-CoV-2 infections occur in people who never develop symptoms, providing strong evidence for the prevalence of asymptomatic infections.</w:t>
      </w:r>
    </w:p>
    <w:p w14:paraId="795545F8"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finding that nearly one in three infected people remain symptom-free suggests testing should be changed, the investigators note.</w:t>
      </w:r>
    </w:p>
    <w:p w14:paraId="576A2D49"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 xml:space="preserve">"To reduce transmission from people who are </w:t>
      </w:r>
      <w:proofErr w:type="spellStart"/>
      <w:r w:rsidRPr="008E1A7A">
        <w:rPr>
          <w:rFonts w:ascii="Arial" w:hAnsi="Arial" w:cs="Arial"/>
          <w:color w:val="222222"/>
          <w:sz w:val="20"/>
          <w:szCs w:val="20"/>
        </w:rPr>
        <w:t>presymptomatic</w:t>
      </w:r>
      <w:proofErr w:type="spellEnd"/>
      <w:r w:rsidRPr="008E1A7A">
        <w:rPr>
          <w:rFonts w:ascii="Arial" w:hAnsi="Arial" w:cs="Arial"/>
          <w:color w:val="222222"/>
          <w:sz w:val="20"/>
          <w:szCs w:val="20"/>
        </w:rPr>
        <w:t xml:space="preserve"> or asymptomatic, we need to shift our testing focus to at-home screening," lead author Daniel Oran, AM, told </w:t>
      </w:r>
      <w:r w:rsidRPr="008E1A7A">
        <w:rPr>
          <w:rFonts w:ascii="Arial" w:hAnsi="Arial" w:cs="Arial"/>
          <w:i/>
          <w:iCs/>
          <w:color w:val="222222"/>
          <w:sz w:val="20"/>
          <w:szCs w:val="20"/>
        </w:rPr>
        <w:t>Medscape Medical News</w:t>
      </w:r>
      <w:r w:rsidRPr="008E1A7A">
        <w:rPr>
          <w:rFonts w:ascii="Arial" w:hAnsi="Arial" w:cs="Arial"/>
          <w:color w:val="222222"/>
          <w:sz w:val="20"/>
          <w:szCs w:val="20"/>
        </w:rPr>
        <w:t>. "Inexpensive rapid antigen tests, provided to millions of people for frequent use, could help us significantly reduce the spread of the virus."</w:t>
      </w:r>
    </w:p>
    <w:p w14:paraId="1F581C78"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w:t>
      </w:r>
      <w:hyperlink r:id="rId10" w:history="1">
        <w:r w:rsidRPr="008E1A7A">
          <w:rPr>
            <w:rStyle w:val="Hyperlink"/>
            <w:rFonts w:ascii="Arial" w:hAnsi="Arial" w:cs="Arial"/>
            <w:color w:val="007CB0"/>
            <w:sz w:val="20"/>
            <w:szCs w:val="20"/>
            <w:u w:val="none"/>
          </w:rPr>
          <w:t>systematic review</w:t>
        </w:r>
      </w:hyperlink>
      <w:r w:rsidRPr="008E1A7A">
        <w:rPr>
          <w:rFonts w:ascii="Arial" w:hAnsi="Arial" w:cs="Arial"/>
          <w:color w:val="222222"/>
          <w:sz w:val="20"/>
          <w:szCs w:val="20"/>
        </w:rPr>
        <w:t> was published online January 22 in </w:t>
      </w:r>
      <w:r w:rsidRPr="008E1A7A">
        <w:rPr>
          <w:rFonts w:ascii="Arial" w:hAnsi="Arial" w:cs="Arial"/>
          <w:i/>
          <w:iCs/>
          <w:color w:val="222222"/>
          <w:sz w:val="20"/>
          <w:szCs w:val="20"/>
        </w:rPr>
        <w:t>Annals of Internal Medicine.</w:t>
      </w:r>
    </w:p>
    <w:p w14:paraId="1248DDFF"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findings come at a dire time when the official number of COVID-19 cases in the United States exceeds 25 million for the first time. Public health officials have raised concerns about more transmissible, and </w:t>
      </w:r>
      <w:hyperlink r:id="rId11" w:history="1">
        <w:r w:rsidRPr="008E1A7A">
          <w:rPr>
            <w:rStyle w:val="Hyperlink"/>
            <w:rFonts w:ascii="Arial" w:hAnsi="Arial" w:cs="Arial"/>
            <w:color w:val="007CB0"/>
            <w:sz w:val="20"/>
            <w:szCs w:val="20"/>
            <w:u w:val="none"/>
          </w:rPr>
          <w:t>possibly more deadly</w:t>
        </w:r>
      </w:hyperlink>
      <w:r w:rsidRPr="008E1A7A">
        <w:rPr>
          <w:rFonts w:ascii="Arial" w:hAnsi="Arial" w:cs="Arial"/>
          <w:color w:val="222222"/>
          <w:sz w:val="20"/>
          <w:szCs w:val="20"/>
        </w:rPr>
        <w:t>, variants of SARS-CoV-2, while a new presidential administration tries to meet the challenge of </w:t>
      </w:r>
      <w:hyperlink r:id="rId12" w:history="1">
        <w:r w:rsidRPr="008E1A7A">
          <w:rPr>
            <w:rStyle w:val="Hyperlink"/>
            <w:rFonts w:ascii="Arial" w:hAnsi="Arial" w:cs="Arial"/>
            <w:color w:val="007CB0"/>
            <w:sz w:val="20"/>
            <w:szCs w:val="20"/>
            <w:u w:val="none"/>
          </w:rPr>
          <w:t>improving vaccine distribution</w:t>
        </w:r>
      </w:hyperlink>
      <w:r w:rsidRPr="008E1A7A">
        <w:rPr>
          <w:rFonts w:ascii="Arial" w:hAnsi="Arial" w:cs="Arial"/>
          <w:color w:val="222222"/>
          <w:sz w:val="20"/>
          <w:szCs w:val="20"/>
        </w:rPr>
        <w:t> and acceptance rates.</w:t>
      </w:r>
    </w:p>
    <w:p w14:paraId="10792E2C"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 xml:space="preserve">The results also build on earlier findings from the same research team — Oran and senior author Eric </w:t>
      </w:r>
      <w:bookmarkStart w:id="0" w:name="_GoBack"/>
      <w:bookmarkEnd w:id="0"/>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MD — that published a </w:t>
      </w:r>
      <w:hyperlink r:id="rId13" w:history="1">
        <w:r w:rsidRPr="008E1A7A">
          <w:rPr>
            <w:rStyle w:val="Hyperlink"/>
            <w:rFonts w:ascii="Arial" w:hAnsi="Arial" w:cs="Arial"/>
            <w:color w:val="007CB0"/>
            <w:sz w:val="20"/>
            <w:szCs w:val="20"/>
            <w:u w:val="none"/>
          </w:rPr>
          <w:t>review article</w:t>
        </w:r>
      </w:hyperlink>
      <w:r w:rsidRPr="008E1A7A">
        <w:rPr>
          <w:rFonts w:ascii="Arial" w:hAnsi="Arial" w:cs="Arial"/>
          <w:color w:val="222222"/>
          <w:sz w:val="20"/>
          <w:szCs w:val="20"/>
        </w:rPr>
        <w:t xml:space="preserve"> looking at asymptomatic COVID-19 cases. Even though initial data were more limited, they likewise suggested a broader scope of testing is warranted, pointing out that asymptomatic individuals can transmit SARS-CoV-2 for up to 14 days. </w:t>
      </w:r>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xml:space="preserve"> is also editor-in-chief of </w:t>
      </w:r>
      <w:r w:rsidRPr="008E1A7A">
        <w:rPr>
          <w:rFonts w:ascii="Arial" w:hAnsi="Arial" w:cs="Arial"/>
          <w:i/>
          <w:iCs/>
          <w:color w:val="222222"/>
          <w:sz w:val="20"/>
          <w:szCs w:val="20"/>
        </w:rPr>
        <w:t>Medscape</w:t>
      </w:r>
      <w:r w:rsidRPr="008E1A7A">
        <w:rPr>
          <w:rFonts w:ascii="Arial" w:hAnsi="Arial" w:cs="Arial"/>
          <w:color w:val="222222"/>
          <w:sz w:val="20"/>
          <w:szCs w:val="20"/>
        </w:rPr>
        <w:t>.</w:t>
      </w:r>
    </w:p>
    <w:p w14:paraId="13ECF9BF"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In the current systematic review, the highest-quality evidence comes from large studies in England and Spain. The nationally representative evidence included serologic surveys from more than 365,000 people in England and more than 61,000 in Spain. When analyzed separately, about the same proportion of asymptomatic cases emerged: 32.4% in England and 33% in Spain.   </w:t>
      </w:r>
    </w:p>
    <w:p w14:paraId="0535CADD"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"It was really remarkable to find that nationwide antibody testing studies in England and Spain — including hundreds of thousands of people — produced nearly identical results: about one third of the SARS-CoV-2 infections were completely asymptomatic," said Oran, a researcher at Scripps Research Translational Institute in La Jolla, California.</w:t>
      </w:r>
    </w:p>
    <w:p w14:paraId="7BB435C8"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systematic review included 43 studies with PCR testing for active SARS-CoV-2 infection and another 18 with antibody results that indicated present or previous infection. The studies were published up until November 17, 2020.</w:t>
      </w:r>
    </w:p>
    <w:p w14:paraId="4B802E05"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 xml:space="preserve">An appreciation for asymptomatic transmission of SARS-CoV-2 infection has come a long way from initial dismissals about its importance, </w:t>
      </w:r>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xml:space="preserve"> noted via Twitter. "When Dr @</w:t>
      </w:r>
      <w:proofErr w:type="spellStart"/>
      <w:r w:rsidRPr="008E1A7A">
        <w:rPr>
          <w:rFonts w:ascii="Arial" w:hAnsi="Arial" w:cs="Arial"/>
          <w:color w:val="222222"/>
          <w:sz w:val="20"/>
          <w:szCs w:val="20"/>
        </w:rPr>
        <w:t>camilla_rothe</w:t>
      </w:r>
      <w:proofErr w:type="spellEnd"/>
      <w:r w:rsidRPr="008E1A7A">
        <w:rPr>
          <w:rFonts w:ascii="Arial" w:hAnsi="Arial" w:cs="Arial"/>
          <w:color w:val="222222"/>
          <w:sz w:val="20"/>
          <w:szCs w:val="20"/>
        </w:rPr>
        <w:t xml:space="preserve"> reported an asymptomatic transmission a year ago, the @NEJM report was refuted and disparaged. She was later named a TIME 100 Person of the Year."</w:t>
      </w:r>
    </w:p>
    <w:p w14:paraId="0F72531B" w14:textId="77777777" w:rsidR="001B2382" w:rsidRPr="008E1A7A" w:rsidRDefault="001B2382" w:rsidP="008E1A7A">
      <w:pPr>
        <w:spacing w:after="300" w:line="300" w:lineRule="auto"/>
        <w:rPr>
          <w:rFonts w:ascii="Arial" w:hAnsi="Arial" w:cs="Arial"/>
          <w:color w:val="333132"/>
          <w:sz w:val="20"/>
          <w:szCs w:val="20"/>
        </w:rPr>
      </w:pPr>
      <w:r w:rsidRPr="008E1A7A">
        <w:rPr>
          <w:rFonts w:ascii="Arial" w:hAnsi="Arial" w:cs="Arial"/>
          <w:color w:val="333132"/>
          <w:sz w:val="20"/>
          <w:szCs w:val="20"/>
        </w:rPr>
        <w:t>Not Symptomatic vs Never Symptomatic</w:t>
      </w:r>
    </w:p>
    <w:p w14:paraId="2FEAEBC1"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term "asymptomatic" could be misleading because some people in this group do progress to develop signs of infection. This "</w:t>
      </w:r>
      <w:proofErr w:type="spellStart"/>
      <w:r w:rsidRPr="008E1A7A">
        <w:rPr>
          <w:rFonts w:ascii="Arial" w:hAnsi="Arial" w:cs="Arial"/>
          <w:color w:val="222222"/>
          <w:sz w:val="20"/>
          <w:szCs w:val="20"/>
        </w:rPr>
        <w:t>presymptomatic</w:t>
      </w:r>
      <w:proofErr w:type="spellEnd"/>
      <w:r w:rsidRPr="008E1A7A">
        <w:rPr>
          <w:rFonts w:ascii="Arial" w:hAnsi="Arial" w:cs="Arial"/>
          <w:color w:val="222222"/>
          <w:sz w:val="20"/>
          <w:szCs w:val="20"/>
        </w:rPr>
        <w:t xml:space="preserve">" group of patients is likely a minority, the authors note. </w:t>
      </w:r>
      <w:r w:rsidRPr="008E1A7A">
        <w:rPr>
          <w:rFonts w:ascii="Arial" w:hAnsi="Arial" w:cs="Arial"/>
          <w:color w:val="222222"/>
          <w:sz w:val="20"/>
          <w:szCs w:val="20"/>
        </w:rPr>
        <w:lastRenderedPageBreak/>
        <w:t>Longitudinal studies indicate that about three quarters of people who are asymptomatic with SARS-CoV-2 remain so.</w:t>
      </w:r>
    </w:p>
    <w:p w14:paraId="626326C0" w14:textId="77777777" w:rsidR="001B2382" w:rsidRPr="008E1A7A" w:rsidRDefault="001B2382" w:rsidP="008E1A7A">
      <w:pPr>
        <w:spacing w:line="300" w:lineRule="auto"/>
        <w:rPr>
          <w:rFonts w:ascii="Arial" w:hAnsi="Arial" w:cs="Arial"/>
          <w:color w:val="222222"/>
          <w:sz w:val="20"/>
          <w:szCs w:val="20"/>
        </w:rPr>
      </w:pPr>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xml:space="preserve"> anticipated the one-third asymptomatic finding could draw some feedback about distinguishing asymptomatic from </w:t>
      </w:r>
      <w:proofErr w:type="spellStart"/>
      <w:r w:rsidRPr="008E1A7A">
        <w:rPr>
          <w:rFonts w:ascii="Arial" w:hAnsi="Arial" w:cs="Arial"/>
          <w:color w:val="222222"/>
          <w:sz w:val="20"/>
          <w:szCs w:val="20"/>
        </w:rPr>
        <w:t>presymptomatic</w:t>
      </w:r>
      <w:proofErr w:type="spellEnd"/>
      <w:r w:rsidRPr="008E1A7A">
        <w:rPr>
          <w:rFonts w:ascii="Arial" w:hAnsi="Arial" w:cs="Arial"/>
          <w:color w:val="222222"/>
          <w:sz w:val="20"/>
          <w:szCs w:val="20"/>
        </w:rPr>
        <w:t xml:space="preserve"> individuals. He tweeted, "Some will argue that there is admixture with </w:t>
      </w:r>
      <w:proofErr w:type="spellStart"/>
      <w:r w:rsidRPr="008E1A7A">
        <w:rPr>
          <w:rFonts w:ascii="Arial" w:hAnsi="Arial" w:cs="Arial"/>
          <w:color w:val="222222"/>
          <w:sz w:val="20"/>
          <w:szCs w:val="20"/>
        </w:rPr>
        <w:t>presymptomatic</w:t>
      </w:r>
      <w:proofErr w:type="spellEnd"/>
      <w:r w:rsidRPr="008E1A7A">
        <w:rPr>
          <w:rFonts w:ascii="Arial" w:hAnsi="Arial" w:cs="Arial"/>
          <w:color w:val="222222"/>
          <w:sz w:val="20"/>
          <w:szCs w:val="20"/>
        </w:rPr>
        <w:t xml:space="preserve"> cases, but review of all the data supports this estimate as being a conservative one."</w:t>
      </w:r>
    </w:p>
    <w:p w14:paraId="10D27336"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The heterogeneity of the settings, populations and other features of the studies prevented the authors from performing a meta-analysis of the findings.</w:t>
      </w:r>
    </w:p>
    <w:p w14:paraId="749AA1D3" w14:textId="77777777" w:rsidR="001B2382" w:rsidRPr="008E1A7A" w:rsidRDefault="001B2382" w:rsidP="008E1A7A">
      <w:pPr>
        <w:spacing w:after="300" w:line="300" w:lineRule="auto"/>
        <w:rPr>
          <w:rFonts w:ascii="Arial" w:hAnsi="Arial" w:cs="Arial"/>
          <w:color w:val="333132"/>
          <w:sz w:val="20"/>
          <w:szCs w:val="20"/>
        </w:rPr>
      </w:pPr>
      <w:r w:rsidRPr="008E1A7A">
        <w:rPr>
          <w:rFonts w:ascii="Arial" w:hAnsi="Arial" w:cs="Arial"/>
          <w:color w:val="333132"/>
          <w:sz w:val="20"/>
          <w:szCs w:val="20"/>
        </w:rPr>
        <w:t>Home Is Where the Test Is?</w:t>
      </w:r>
    </w:p>
    <w:p w14:paraId="6B3F193B"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 xml:space="preserve">Based on their findings, Oran and </w:t>
      </w:r>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xml:space="preserve"> believe "that COVID-19 control strategies must be altered, taking into account the prevalence and transmission risk of asymptomatic SARS-CoV-2 infection," they write. They suggest frequent use of inexpensive, rapid home tests to identify people who are asymptomatic or </w:t>
      </w:r>
      <w:proofErr w:type="spellStart"/>
      <w:r w:rsidRPr="008E1A7A">
        <w:rPr>
          <w:rFonts w:ascii="Arial" w:hAnsi="Arial" w:cs="Arial"/>
          <w:color w:val="222222"/>
          <w:sz w:val="20"/>
          <w:szCs w:val="20"/>
        </w:rPr>
        <w:t>presymptomatic</w:t>
      </w:r>
      <w:proofErr w:type="spellEnd"/>
      <w:r w:rsidRPr="008E1A7A">
        <w:rPr>
          <w:rFonts w:ascii="Arial" w:hAnsi="Arial" w:cs="Arial"/>
          <w:color w:val="222222"/>
          <w:sz w:val="20"/>
          <w:szCs w:val="20"/>
        </w:rPr>
        <w:t>, along with programs and housing provided by the government to offer financial assistance and allow this group of people to isolate themselves.</w:t>
      </w:r>
    </w:p>
    <w:p w14:paraId="6EB7D6C1"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color w:val="222222"/>
          <w:sz w:val="20"/>
          <w:szCs w:val="20"/>
        </w:rPr>
        <w:t>Further research is warranted to determine if and how well vaccines for SARS-CoV-2 prevent asymptomatic infection.</w:t>
      </w:r>
    </w:p>
    <w:p w14:paraId="1DB6A0BA" w14:textId="77777777" w:rsidR="001B2382" w:rsidRPr="008E1A7A" w:rsidRDefault="001B2382" w:rsidP="008E1A7A">
      <w:pPr>
        <w:spacing w:line="300" w:lineRule="auto"/>
        <w:rPr>
          <w:rFonts w:ascii="Arial" w:hAnsi="Arial" w:cs="Arial"/>
          <w:color w:val="222222"/>
          <w:sz w:val="20"/>
          <w:szCs w:val="20"/>
        </w:rPr>
      </w:pPr>
      <w:proofErr w:type="spellStart"/>
      <w:r w:rsidRPr="008E1A7A">
        <w:rPr>
          <w:rFonts w:ascii="Arial" w:hAnsi="Arial" w:cs="Arial"/>
          <w:color w:val="222222"/>
          <w:sz w:val="20"/>
          <w:szCs w:val="20"/>
        </w:rPr>
        <w:t>Topol</w:t>
      </w:r>
      <w:proofErr w:type="spellEnd"/>
      <w:r w:rsidRPr="008E1A7A">
        <w:rPr>
          <w:rFonts w:ascii="Arial" w:hAnsi="Arial" w:cs="Arial"/>
          <w:color w:val="222222"/>
          <w:sz w:val="20"/>
          <w:szCs w:val="20"/>
        </w:rPr>
        <w:t xml:space="preserve"> and Oran created a </w:t>
      </w:r>
      <w:hyperlink r:id="rId14" w:history="1">
        <w:r w:rsidRPr="008E1A7A">
          <w:rPr>
            <w:rStyle w:val="Hyperlink"/>
            <w:rFonts w:ascii="Arial" w:hAnsi="Arial" w:cs="Arial"/>
            <w:color w:val="007CB0"/>
            <w:sz w:val="20"/>
            <w:szCs w:val="20"/>
            <w:u w:val="none"/>
          </w:rPr>
          <w:t>short video</w:t>
        </w:r>
      </w:hyperlink>
      <w:r w:rsidRPr="008E1A7A">
        <w:rPr>
          <w:rFonts w:ascii="Arial" w:hAnsi="Arial" w:cs="Arial"/>
          <w:color w:val="222222"/>
          <w:sz w:val="20"/>
          <w:szCs w:val="20"/>
        </w:rPr>
        <w:t> to highlight the findings from their systematic review.</w:t>
      </w:r>
    </w:p>
    <w:p w14:paraId="0240C7BB"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i/>
          <w:iCs/>
          <w:color w:val="222222"/>
          <w:sz w:val="20"/>
          <w:szCs w:val="20"/>
        </w:rPr>
        <w:t>The study was supported by a grant from the National Institutes of Health.</w:t>
      </w:r>
    </w:p>
    <w:p w14:paraId="0A3B0157"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i/>
          <w:iCs/>
          <w:color w:val="222222"/>
          <w:sz w:val="20"/>
          <w:szCs w:val="20"/>
        </w:rPr>
        <w:t>Ann Intern Med.</w:t>
      </w:r>
      <w:r w:rsidRPr="008E1A7A">
        <w:rPr>
          <w:rFonts w:ascii="Arial" w:hAnsi="Arial" w:cs="Arial"/>
          <w:color w:val="222222"/>
          <w:sz w:val="20"/>
          <w:szCs w:val="20"/>
        </w:rPr>
        <w:t> Published online January 22, 2021. </w:t>
      </w:r>
      <w:hyperlink r:id="rId15" w:history="1">
        <w:r w:rsidRPr="008E1A7A">
          <w:rPr>
            <w:rStyle w:val="Hyperlink"/>
            <w:rFonts w:ascii="Arial" w:hAnsi="Arial" w:cs="Arial"/>
            <w:color w:val="007CB0"/>
            <w:sz w:val="20"/>
            <w:szCs w:val="20"/>
            <w:u w:val="none"/>
          </w:rPr>
          <w:t>Full text</w:t>
        </w:r>
      </w:hyperlink>
    </w:p>
    <w:p w14:paraId="14AF2720"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i/>
          <w:iCs/>
          <w:color w:val="222222"/>
          <w:sz w:val="20"/>
          <w:szCs w:val="20"/>
        </w:rPr>
        <w:t>Damian McNamara</w:t>
      </w:r>
      <w:r w:rsidRPr="008E1A7A">
        <w:rPr>
          <w:rFonts w:ascii="Arial" w:hAnsi="Arial" w:cs="Arial"/>
          <w:color w:val="222222"/>
          <w:sz w:val="20"/>
          <w:szCs w:val="20"/>
        </w:rPr>
        <w:t> </w:t>
      </w:r>
      <w:r w:rsidRPr="008E1A7A">
        <w:rPr>
          <w:rFonts w:ascii="Arial" w:hAnsi="Arial" w:cs="Arial"/>
          <w:i/>
          <w:iCs/>
          <w:color w:val="222222"/>
          <w:sz w:val="20"/>
          <w:szCs w:val="20"/>
        </w:rPr>
        <w:t>is a staff</w:t>
      </w:r>
      <w:r w:rsidRPr="008E1A7A">
        <w:rPr>
          <w:rFonts w:ascii="Arial" w:hAnsi="Arial" w:cs="Arial"/>
          <w:color w:val="222222"/>
          <w:sz w:val="20"/>
          <w:szCs w:val="20"/>
        </w:rPr>
        <w:t> </w:t>
      </w:r>
      <w:r w:rsidRPr="008E1A7A">
        <w:rPr>
          <w:rFonts w:ascii="Arial" w:hAnsi="Arial" w:cs="Arial"/>
          <w:i/>
          <w:iCs/>
          <w:color w:val="222222"/>
          <w:sz w:val="20"/>
          <w:szCs w:val="20"/>
        </w:rPr>
        <w:t>journalist based in Miami. He covers a wide range of medical specialties, including infectious diseases, gastroenterology, and critical care. Follow Damian on Twitter: </w:t>
      </w:r>
      <w:r w:rsidRPr="008E1A7A">
        <w:rPr>
          <w:rFonts w:ascii="Arial" w:hAnsi="Arial" w:cs="Arial"/>
          <w:color w:val="222222"/>
          <w:sz w:val="20"/>
          <w:szCs w:val="20"/>
        </w:rPr>
        <w:t> </w:t>
      </w:r>
      <w:hyperlink r:id="rId16" w:history="1">
        <w:r w:rsidRPr="008E1A7A">
          <w:rPr>
            <w:rStyle w:val="Hyperlink"/>
            <w:rFonts w:ascii="Arial" w:hAnsi="Arial" w:cs="Arial"/>
            <w:color w:val="007CB0"/>
            <w:sz w:val="20"/>
            <w:szCs w:val="20"/>
            <w:u w:val="none"/>
          </w:rPr>
          <w:t>@</w:t>
        </w:r>
        <w:proofErr w:type="spellStart"/>
        <w:r w:rsidRPr="008E1A7A">
          <w:rPr>
            <w:rStyle w:val="Hyperlink"/>
            <w:rFonts w:ascii="Arial" w:hAnsi="Arial" w:cs="Arial"/>
            <w:color w:val="007CB0"/>
            <w:sz w:val="20"/>
            <w:szCs w:val="20"/>
            <w:u w:val="none"/>
          </w:rPr>
          <w:t>MedReporter</w:t>
        </w:r>
        <w:proofErr w:type="spellEnd"/>
      </w:hyperlink>
      <w:r w:rsidRPr="008E1A7A">
        <w:rPr>
          <w:rFonts w:ascii="Arial" w:hAnsi="Arial" w:cs="Arial"/>
          <w:color w:val="222222"/>
          <w:sz w:val="20"/>
          <w:szCs w:val="20"/>
        </w:rPr>
        <w:t>.</w:t>
      </w:r>
    </w:p>
    <w:p w14:paraId="1E7CA9CB" w14:textId="77777777" w:rsidR="001B2382" w:rsidRPr="008E1A7A" w:rsidRDefault="001B2382" w:rsidP="008E1A7A">
      <w:pPr>
        <w:spacing w:line="300" w:lineRule="auto"/>
        <w:rPr>
          <w:rFonts w:ascii="Arial" w:hAnsi="Arial" w:cs="Arial"/>
          <w:color w:val="222222"/>
          <w:sz w:val="20"/>
          <w:szCs w:val="20"/>
        </w:rPr>
      </w:pPr>
      <w:r w:rsidRPr="008E1A7A">
        <w:rPr>
          <w:rFonts w:ascii="Arial" w:hAnsi="Arial" w:cs="Arial"/>
          <w:i/>
          <w:iCs/>
          <w:color w:val="222222"/>
          <w:sz w:val="20"/>
          <w:szCs w:val="20"/>
        </w:rPr>
        <w:t>Follow Medscape on </w:t>
      </w:r>
      <w:hyperlink r:id="rId17" w:history="1">
        <w:r w:rsidRPr="008E1A7A">
          <w:rPr>
            <w:rStyle w:val="Hyperlink"/>
            <w:rFonts w:ascii="Arial" w:hAnsi="Arial" w:cs="Arial"/>
            <w:i/>
            <w:iCs/>
            <w:color w:val="007CB0"/>
            <w:sz w:val="20"/>
            <w:szCs w:val="20"/>
            <w:u w:val="none"/>
          </w:rPr>
          <w:t>Facebook</w:t>
        </w:r>
      </w:hyperlink>
      <w:r w:rsidRPr="008E1A7A">
        <w:rPr>
          <w:rFonts w:ascii="Arial" w:hAnsi="Arial" w:cs="Arial"/>
          <w:i/>
          <w:iCs/>
          <w:color w:val="222222"/>
          <w:sz w:val="20"/>
          <w:szCs w:val="20"/>
        </w:rPr>
        <w:t>, </w:t>
      </w:r>
      <w:hyperlink r:id="rId18" w:history="1">
        <w:r w:rsidRPr="008E1A7A">
          <w:rPr>
            <w:rStyle w:val="Hyperlink"/>
            <w:rFonts w:ascii="Arial" w:hAnsi="Arial" w:cs="Arial"/>
            <w:i/>
            <w:iCs/>
            <w:color w:val="007CB0"/>
            <w:sz w:val="20"/>
            <w:szCs w:val="20"/>
            <w:u w:val="none"/>
          </w:rPr>
          <w:t>Twitter</w:t>
        </w:r>
      </w:hyperlink>
      <w:r w:rsidRPr="008E1A7A">
        <w:rPr>
          <w:rFonts w:ascii="Arial" w:hAnsi="Arial" w:cs="Arial"/>
          <w:i/>
          <w:iCs/>
          <w:color w:val="222222"/>
          <w:sz w:val="20"/>
          <w:szCs w:val="20"/>
        </w:rPr>
        <w:t>, </w:t>
      </w:r>
      <w:hyperlink r:id="rId19" w:history="1">
        <w:r w:rsidRPr="008E1A7A">
          <w:rPr>
            <w:rStyle w:val="Hyperlink"/>
            <w:rFonts w:ascii="Arial" w:hAnsi="Arial" w:cs="Arial"/>
            <w:i/>
            <w:iCs/>
            <w:color w:val="007CB0"/>
            <w:sz w:val="20"/>
            <w:szCs w:val="20"/>
            <w:u w:val="none"/>
          </w:rPr>
          <w:t>Instagram</w:t>
        </w:r>
      </w:hyperlink>
      <w:r w:rsidRPr="008E1A7A">
        <w:rPr>
          <w:rFonts w:ascii="Arial" w:hAnsi="Arial" w:cs="Arial"/>
          <w:i/>
          <w:iCs/>
          <w:color w:val="222222"/>
          <w:sz w:val="20"/>
          <w:szCs w:val="20"/>
        </w:rPr>
        <w:t>, and </w:t>
      </w:r>
      <w:hyperlink r:id="rId20" w:history="1">
        <w:r w:rsidRPr="008E1A7A">
          <w:rPr>
            <w:rStyle w:val="Hyperlink"/>
            <w:rFonts w:ascii="Arial" w:hAnsi="Arial" w:cs="Arial"/>
            <w:i/>
            <w:iCs/>
            <w:color w:val="007CB0"/>
            <w:sz w:val="20"/>
            <w:szCs w:val="20"/>
            <w:u w:val="none"/>
          </w:rPr>
          <w:t>YouTube</w:t>
        </w:r>
      </w:hyperlink>
      <w:r w:rsidRPr="008E1A7A">
        <w:rPr>
          <w:rFonts w:ascii="Arial" w:hAnsi="Arial" w:cs="Arial"/>
          <w:i/>
          <w:iCs/>
          <w:color w:val="222222"/>
          <w:sz w:val="20"/>
          <w:szCs w:val="20"/>
        </w:rPr>
        <w:t>.</w:t>
      </w:r>
    </w:p>
    <w:p w14:paraId="2F8A9DA9" w14:textId="77777777" w:rsidR="001B2382" w:rsidRPr="008E1A7A" w:rsidRDefault="001B2382" w:rsidP="008E1A7A">
      <w:pPr>
        <w:spacing w:line="300" w:lineRule="auto"/>
        <w:rPr>
          <w:sz w:val="20"/>
          <w:szCs w:val="20"/>
        </w:rPr>
      </w:pPr>
    </w:p>
    <w:p w14:paraId="73CF3478" w14:textId="77777777" w:rsidR="001B2382" w:rsidRPr="008E1A7A" w:rsidRDefault="001B2382" w:rsidP="008E1A7A">
      <w:pPr>
        <w:spacing w:line="300" w:lineRule="auto"/>
        <w:rPr>
          <w:sz w:val="20"/>
          <w:szCs w:val="20"/>
        </w:rPr>
      </w:pPr>
    </w:p>
    <w:p w14:paraId="6FCD82BC" w14:textId="77777777" w:rsidR="00B71673" w:rsidRDefault="00B71673"/>
    <w:sectPr w:rsidR="00B7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2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0A5C5"/>
    <w:multiLevelType w:val="hybridMultilevel"/>
    <w:tmpl w:val="CF4D498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82"/>
    <w:rsid w:val="001B2382"/>
    <w:rsid w:val="008E1A7A"/>
    <w:rsid w:val="00B7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B52E"/>
  <w15:chartTrackingRefBased/>
  <w15:docId w15:val="{B66C6B31-602F-44A9-9F43-8FD105A1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82"/>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2382"/>
    <w:rPr>
      <w:color w:val="0563C1"/>
      <w:u w:val="single"/>
    </w:rPr>
  </w:style>
  <w:style w:type="paragraph" w:customStyle="1" w:styleId="Default">
    <w:name w:val="Default"/>
    <w:basedOn w:val="Normal"/>
    <w:rsid w:val="001B2382"/>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hu.edu/forms/2021-january-29-clinical-bulletin" TargetMode="External"/><Relationship Id="rId13" Type="http://schemas.openxmlformats.org/officeDocument/2006/relationships/hyperlink" Target="https://www.acpjournals.org/doi/10.7326/M20-3012" TargetMode="External"/><Relationship Id="rId18" Type="http://schemas.openxmlformats.org/officeDocument/2006/relationships/hyperlink" Target="https://twitter.com/medsca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edscape.com/viewarticle/944412" TargetMode="External"/><Relationship Id="rId17" Type="http://schemas.openxmlformats.org/officeDocument/2006/relationships/hyperlink" Target="https://www.facebook.com/medscape" TargetMode="External"/><Relationship Id="rId2" Type="http://schemas.openxmlformats.org/officeDocument/2006/relationships/customXml" Target="../customXml/item2.xml"/><Relationship Id="rId16" Type="http://schemas.openxmlformats.org/officeDocument/2006/relationships/hyperlink" Target="https://twitter.com/MedReporter" TargetMode="External"/><Relationship Id="rId20" Type="http://schemas.openxmlformats.org/officeDocument/2006/relationships/hyperlink" Target="https://www.youtube.com/user/medsca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ape.com/viewarticle/944558" TargetMode="External"/><Relationship Id="rId5" Type="http://schemas.openxmlformats.org/officeDocument/2006/relationships/styles" Target="styles.xml"/><Relationship Id="rId15" Type="http://schemas.openxmlformats.org/officeDocument/2006/relationships/hyperlink" Target="https://www.acpjournals.org/doi/10.7326/M20-6976" TargetMode="External"/><Relationship Id="rId10" Type="http://schemas.openxmlformats.org/officeDocument/2006/relationships/hyperlink" Target="https://www.acpjournals.org/doi/10.7326/M20-6976" TargetMode="External"/><Relationship Id="rId19" Type="http://schemas.openxmlformats.org/officeDocument/2006/relationships/hyperlink" Target="https://www.instagram.com/medscape/?hl=en" TargetMode="External"/><Relationship Id="rId4" Type="http://schemas.openxmlformats.org/officeDocument/2006/relationships/numbering" Target="numbering.xml"/><Relationship Id="rId9" Type="http://schemas.openxmlformats.org/officeDocument/2006/relationships/hyperlink" Target="https://www.medscape.com/resource/coronavirus" TargetMode="External"/><Relationship Id="rId14" Type="http://schemas.openxmlformats.org/officeDocument/2006/relationships/hyperlink" Target="https://www.youtube.com/watch?v=bKInI6VW-tQ&amp;feature=youtu.b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7D562458A9C4E9FD37F62DD7EDB50" ma:contentTypeVersion="15" ma:contentTypeDescription="Create a new document." ma:contentTypeScope="" ma:versionID="f5ad4951051cba8dd4340c8f294bbd27">
  <xsd:schema xmlns:xsd="http://www.w3.org/2001/XMLSchema" xmlns:xs="http://www.w3.org/2001/XMLSchema" xmlns:p="http://schemas.microsoft.com/office/2006/metadata/properties" xmlns:ns1="http://schemas.microsoft.com/sharepoint/v3" xmlns:ns3="a3556920-8866-4ae3-8c67-7a9215a55e8c" xmlns:ns4="8b341a72-c2c3-4884-9ac6-5919f086bfcf" targetNamespace="http://schemas.microsoft.com/office/2006/metadata/properties" ma:root="true" ma:fieldsID="66b4ed283c06d17f16c31c914b7cc120" ns1:_="" ns3:_="" ns4:_="">
    <xsd:import namespace="http://schemas.microsoft.com/sharepoint/v3"/>
    <xsd:import namespace="a3556920-8866-4ae3-8c67-7a9215a55e8c"/>
    <xsd:import namespace="8b341a72-c2c3-4884-9ac6-5919f086bf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56920-8866-4ae3-8c67-7a9215a5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41a72-c2c3-4884-9ac6-5919f086bf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186B2A-D17E-4AC1-A850-A68C2BDE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556920-8866-4ae3-8c67-7a9215a55e8c"/>
    <ds:schemaRef ds:uri="8b341a72-c2c3-4884-9ac6-5919f086b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AD5F5-2D5A-4CF9-9112-C636856BC0C0}">
  <ds:schemaRefs>
    <ds:schemaRef ds:uri="http://schemas.microsoft.com/sharepoint/v3/contenttype/forms"/>
  </ds:schemaRefs>
</ds:datastoreItem>
</file>

<file path=customXml/itemProps3.xml><?xml version="1.0" encoding="utf-8"?>
<ds:datastoreItem xmlns:ds="http://schemas.openxmlformats.org/officeDocument/2006/customXml" ds:itemID="{10C2607C-047F-494C-AEC7-ADBD04B34C6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Greene</dc:creator>
  <cp:keywords/>
  <dc:description/>
  <cp:lastModifiedBy>Mary Greene</cp:lastModifiedBy>
  <cp:revision>1</cp:revision>
  <dcterms:created xsi:type="dcterms:W3CDTF">2021-02-02T21:42:00Z</dcterms:created>
  <dcterms:modified xsi:type="dcterms:W3CDTF">2021-02-02T22:41:00Z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0x0101006377D562458A9C4E9FD37F62DD7EDB50</vt:lpwstr>
  </property>
</Properties>
</file>